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Accountant Experience Letter</w:t>
      </w:r>
    </w:p>
    <w:p>
      <w:pPr>
        <w:spacing w:after="240"/>
      </w:pPr>
      <w:r>
        <w:rPr>
          <w:rFonts w:ascii="Arial" w:hAnsi="Arial"/>
          <w:b w:val="0"/>
          <w:i w:val="0"/>
          <w:color w:val="444444"/>
          <w:sz w:val="22"/>
          <w:u w:val="none"/>
        </w:rPr>
        <w:t>Experience Certificate Format for Accounting and Finance Professionals</w:t>
      </w:r>
    </w:p>
    <w:p>
      <w:pPr>
        <w:spacing w:after="160"/>
        <w:jc w:val="both"/>
      </w:pPr>
      <w:r>
        <w:rPr>
          <w:rFonts w:ascii="Arial" w:hAnsi="Arial"/>
          <w:b w:val="0"/>
          <w:i w:val="0"/>
          <w:color w:val="1A1A1A"/>
          <w:sz w:val="21"/>
          <w:u w:val="none"/>
        </w:rPr>
        <w:t>Accountant and finance professional experience letters require attention to compliance knowledge, accounting standards, and specific financial responsibilities handled. Background verification for finance roles is rigorous — letters that mention only "handled accounting work" are routinely flagged.</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Accountant / Senior Accountant / Finance Executive / Assistant Manager - Finance]</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responsibilities — e.g., maintaining the general ledger, account reconciliations, vendor payment processing, GST return filings (GSTR-1, GSTR-3B), TDS computation and quarterly returns, financial statement preparation as per Ind AS, monthly closing of books, and supporting statutory and internal audits]</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worked extensively with </w:t>
            </w:r>
            <w:r>
              <w:rPr>
                <w:rFonts w:ascii="Times New Roman" w:hAnsi="Times New Roman"/>
                <w:b/>
                <w:i w:val="0"/>
                <w:color w:val="1A1A1A"/>
                <w:sz w:val="22"/>
                <w:u w:val="none"/>
              </w:rPr>
              <w:t>[accounting software — e.g., Tally Prime / SAP FICO / QuickBooks / Zoho Books / Oracle NetSuite]</w:t>
            </w:r>
            <w:r>
              <w:rPr>
                <w:rFonts w:ascii="Times New Roman" w:hAnsi="Times New Roman"/>
                <w:b w:val="0"/>
                <w:i w:val="0"/>
                <w:color w:val="1A1A1A"/>
                <w:sz w:val="22"/>
                <w:u w:val="none"/>
              </w:rPr>
              <w:t xml:space="preserve"> and demonstrated a sound understanding of the Companies Act 2013, GST regulations, and applicable Indian accounting standards.</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consistently demonstrated precision, integrity, and reliability in handling financial information. </w:t>
            </w:r>
            <w:r>
              <w:rPr>
                <w:rFonts w:ascii="Times New Roman" w:hAnsi="Times New Roman"/>
                <w:b/>
                <w:i w:val="0"/>
                <w:color w:val="1A1A1A"/>
                <w:sz w:val="22"/>
                <w:u w:val="none"/>
              </w:rPr>
              <w:t>[Notable contributions — e.g., supported the successful completion of three statutory audits with zero major observations, identified and corrected reconciliation issues recovering Rs. 14 lakh in vendor over-payments, and reduced monthly closing time by 4 days through process automation]</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We wish </w:t>
            </w:r>
            <w:r>
              <w:rPr>
                <w:rFonts w:ascii="Times New Roman" w:hAnsi="Times New Roman"/>
                <w:b/>
                <w:i w:val="0"/>
                <w:color w:val="1A1A1A"/>
                <w:sz w:val="22"/>
                <w:u w:val="none"/>
              </w:rPr>
              <w:t>[Employee Name]</w:t>
            </w:r>
            <w:r>
              <w:rPr>
                <w:rFonts w:ascii="Times New Roman" w:hAnsi="Times New Roman"/>
                <w:b w:val="0"/>
                <w:i w:val="0"/>
                <w:color w:val="1A1A1A"/>
                <w:sz w:val="22"/>
                <w:u w:val="none"/>
              </w:rPr>
              <w:t xml:space="preserve"> all the best for [his/her/their]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Finance Manager / CFO]</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Specify accounting software used (Tally, SAP, QuickBooks, Zoho Books) and the regulatory frameworks worked within (Companies Act, Ind AS, GST). For CA articleship roles, mention the specific clients or audit assignments handled.</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